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3BCB" w14:textId="77777777" w:rsidR="00676B40" w:rsidRDefault="00081ACB">
      <w:pPr>
        <w:spacing w:before="19"/>
        <w:ind w:left="2436" w:right="2461"/>
        <w:jc w:val="center"/>
        <w:rPr>
          <w:b/>
          <w:sz w:val="28"/>
        </w:rPr>
      </w:pPr>
      <w:r>
        <w:rPr>
          <w:b/>
          <w:sz w:val="28"/>
        </w:rPr>
        <w:t>Scholarship Research Paper Instructions</w:t>
      </w:r>
    </w:p>
    <w:p w14:paraId="402E3BCC" w14:textId="77777777" w:rsidR="00676B40" w:rsidRDefault="00676B40">
      <w:pPr>
        <w:pStyle w:val="BodyText"/>
        <w:spacing w:before="11"/>
        <w:ind w:left="0"/>
        <w:rPr>
          <w:b/>
          <w:sz w:val="23"/>
        </w:rPr>
      </w:pPr>
    </w:p>
    <w:p w14:paraId="402E3BCD" w14:textId="03BE0F74" w:rsidR="00676B40" w:rsidRDefault="00081ACB">
      <w:pPr>
        <w:ind w:left="100" w:right="116"/>
        <w:jc w:val="both"/>
      </w:pPr>
      <w:r>
        <w:t xml:space="preserve">Submit a research paper with a minimum of 700 words describing </w:t>
      </w:r>
      <w:r w:rsidR="00AF754C">
        <w:rPr>
          <w:rFonts w:asciiTheme="minorHAnsi" w:hAnsiTheme="minorHAnsi" w:cstheme="minorHAnsi"/>
          <w:b/>
          <w:bCs/>
        </w:rPr>
        <w:t>Innovative</w:t>
      </w:r>
      <w:r w:rsidR="0043740A">
        <w:rPr>
          <w:rFonts w:asciiTheme="minorHAnsi" w:hAnsiTheme="minorHAnsi" w:cstheme="minorHAnsi"/>
          <w:b/>
          <w:bCs/>
        </w:rPr>
        <w:t xml:space="preserve"> </w:t>
      </w:r>
      <w:r w:rsidR="00AF754C">
        <w:rPr>
          <w:rFonts w:asciiTheme="minorHAnsi" w:hAnsiTheme="minorHAnsi" w:cstheme="minorHAnsi"/>
          <w:b/>
          <w:bCs/>
        </w:rPr>
        <w:t xml:space="preserve">Technologies in </w:t>
      </w:r>
      <w:r w:rsidR="00461CC4">
        <w:rPr>
          <w:rFonts w:asciiTheme="minorHAnsi" w:hAnsiTheme="minorHAnsi" w:cstheme="minorHAnsi"/>
          <w:b/>
          <w:bCs/>
        </w:rPr>
        <w:t>Wastewater</w:t>
      </w:r>
      <w:r w:rsidR="00AF754C">
        <w:rPr>
          <w:rFonts w:asciiTheme="minorHAnsi" w:hAnsiTheme="minorHAnsi" w:cstheme="minorHAnsi"/>
          <w:b/>
          <w:bCs/>
        </w:rPr>
        <w:t xml:space="preserve"> Treatment</w:t>
      </w:r>
      <w:r w:rsidR="0063510E">
        <w:rPr>
          <w:rFonts w:asciiTheme="minorHAnsi" w:hAnsiTheme="minorHAnsi" w:cstheme="minorHAnsi"/>
          <w:b/>
          <w:bCs/>
        </w:rPr>
        <w:t>.</w:t>
      </w:r>
    </w:p>
    <w:p w14:paraId="402E3BCE" w14:textId="77777777" w:rsidR="00676B40" w:rsidRDefault="00676B40">
      <w:pPr>
        <w:pStyle w:val="BodyText"/>
        <w:spacing w:before="1"/>
        <w:ind w:left="0"/>
      </w:pPr>
    </w:p>
    <w:p w14:paraId="402E3BD7" w14:textId="58C5B639" w:rsidR="00F470CF" w:rsidRDefault="00081ACB" w:rsidP="00D9240F">
      <w:pPr>
        <w:pStyle w:val="BodyText"/>
        <w:ind w:left="100" w:right="119"/>
        <w:jc w:val="both"/>
      </w:pPr>
      <w:r>
        <w:t>The</w:t>
      </w:r>
      <w:r>
        <w:rPr>
          <w:spacing w:val="-3"/>
        </w:rPr>
        <w:t xml:space="preserve"> </w:t>
      </w:r>
      <w:r>
        <w:t>goal</w:t>
      </w:r>
      <w:r>
        <w:rPr>
          <w:spacing w:val="-5"/>
        </w:rPr>
        <w:t xml:space="preserve"> </w:t>
      </w:r>
      <w:r>
        <w:t>of</w:t>
      </w:r>
      <w:r>
        <w:rPr>
          <w:spacing w:val="-3"/>
        </w:rPr>
        <w:t xml:space="preserve"> </w:t>
      </w:r>
      <w:r>
        <w:t>this</w:t>
      </w:r>
      <w:r>
        <w:rPr>
          <w:spacing w:val="-3"/>
        </w:rPr>
        <w:t xml:space="preserve"> </w:t>
      </w:r>
      <w:r>
        <w:t>requirement</w:t>
      </w:r>
      <w:r>
        <w:rPr>
          <w:spacing w:val="-3"/>
        </w:rPr>
        <w:t xml:space="preserve"> </w:t>
      </w:r>
      <w:r>
        <w:t>is</w:t>
      </w:r>
      <w:r>
        <w:rPr>
          <w:spacing w:val="-3"/>
        </w:rPr>
        <w:t xml:space="preserve"> </w:t>
      </w:r>
      <w:r>
        <w:t>for</w:t>
      </w:r>
      <w:r>
        <w:rPr>
          <w:spacing w:val="-5"/>
        </w:rPr>
        <w:t xml:space="preserve"> </w:t>
      </w:r>
      <w:r>
        <w:t>applicants</w:t>
      </w:r>
      <w:r>
        <w:rPr>
          <w:spacing w:val="-3"/>
        </w:rPr>
        <w:t xml:space="preserve"> </w:t>
      </w:r>
      <w:r>
        <w:t>to</w:t>
      </w:r>
      <w:r>
        <w:rPr>
          <w:spacing w:val="2"/>
        </w:rPr>
        <w:t xml:space="preserve"> </w:t>
      </w:r>
      <w:r>
        <w:rPr>
          <w:b/>
        </w:rPr>
        <w:t>learn</w:t>
      </w:r>
      <w:r>
        <w:rPr>
          <w:b/>
          <w:spacing w:val="-5"/>
        </w:rPr>
        <w:t xml:space="preserve"> </w:t>
      </w:r>
      <w:r>
        <w:t>more</w:t>
      </w:r>
      <w:r>
        <w:rPr>
          <w:spacing w:val="-3"/>
        </w:rPr>
        <w:t xml:space="preserve"> </w:t>
      </w:r>
      <w:r>
        <w:t>about</w:t>
      </w:r>
      <w:r>
        <w:rPr>
          <w:spacing w:val="-4"/>
        </w:rPr>
        <w:t xml:space="preserve"> </w:t>
      </w:r>
      <w:r>
        <w:t>how</w:t>
      </w:r>
      <w:r>
        <w:rPr>
          <w:spacing w:val="-5"/>
        </w:rPr>
        <w:t xml:space="preserve"> </w:t>
      </w:r>
      <w:r>
        <w:t>they</w:t>
      </w:r>
      <w:r>
        <w:rPr>
          <w:spacing w:val="-3"/>
        </w:rPr>
        <w:t xml:space="preserve"> </w:t>
      </w:r>
      <w:r>
        <w:t>can</w:t>
      </w:r>
      <w:r>
        <w:rPr>
          <w:spacing w:val="-4"/>
        </w:rPr>
        <w:t xml:space="preserve"> </w:t>
      </w:r>
      <w:r>
        <w:t>protect</w:t>
      </w:r>
      <w:r>
        <w:rPr>
          <w:spacing w:val="-4"/>
        </w:rPr>
        <w:t xml:space="preserve"> </w:t>
      </w:r>
      <w:r>
        <w:t>our</w:t>
      </w:r>
      <w:r>
        <w:rPr>
          <w:spacing w:val="-5"/>
        </w:rPr>
        <w:t xml:space="preserve"> </w:t>
      </w:r>
      <w:r>
        <w:t xml:space="preserve">environment through research and then demonstrate what they learned through the paper they write. Applicants should strive to select one or two related topics and present their information to a reasonable depth of understanding rather than referencing many different topics with little depth. </w:t>
      </w:r>
    </w:p>
    <w:p w14:paraId="402E3BD8" w14:textId="77777777" w:rsidR="00676B40" w:rsidRDefault="00676B40">
      <w:pPr>
        <w:pStyle w:val="BodyText"/>
        <w:ind w:left="0"/>
      </w:pPr>
    </w:p>
    <w:p w14:paraId="402E3BD9" w14:textId="3C381C53" w:rsidR="00676B40" w:rsidRDefault="00081ACB">
      <w:pPr>
        <w:pStyle w:val="BodyText"/>
        <w:ind w:left="100" w:right="123"/>
        <w:jc w:val="both"/>
      </w:pPr>
      <w:r>
        <w:t xml:space="preserve">Applicants are expected to do research on their </w:t>
      </w:r>
      <w:r w:rsidR="00012996">
        <w:t>topic and</w:t>
      </w:r>
      <w:r>
        <w:t xml:space="preserve"> present their information in an organized format including an introduction, section titles and a conclusion. All information that is learned or used from a source must have that source cited in the very paragraph it is included.</w:t>
      </w:r>
      <w:r>
        <w:rPr>
          <w:spacing w:val="11"/>
        </w:rPr>
        <w:t xml:space="preserve"> </w:t>
      </w:r>
      <w:r>
        <w:t>All references should also be listed on a separate page at the end of the paper, including the page number from which the information</w:t>
      </w:r>
      <w:r>
        <w:rPr>
          <w:spacing w:val="-9"/>
        </w:rPr>
        <w:t xml:space="preserve"> </w:t>
      </w:r>
      <w:r>
        <w:t>was</w:t>
      </w:r>
      <w:r>
        <w:rPr>
          <w:spacing w:val="-10"/>
        </w:rPr>
        <w:t xml:space="preserve"> </w:t>
      </w:r>
      <w:r>
        <w:t>obtained.</w:t>
      </w:r>
      <w:r>
        <w:rPr>
          <w:spacing w:val="32"/>
        </w:rPr>
        <w:t xml:space="preserve"> </w:t>
      </w:r>
      <w:r>
        <w:t>All</w:t>
      </w:r>
      <w:r>
        <w:rPr>
          <w:spacing w:val="-9"/>
        </w:rPr>
        <w:t xml:space="preserve"> </w:t>
      </w:r>
      <w:r>
        <w:t>internet</w:t>
      </w:r>
      <w:r>
        <w:rPr>
          <w:spacing w:val="-7"/>
        </w:rPr>
        <w:t xml:space="preserve"> </w:t>
      </w:r>
      <w:r>
        <w:t>sources</w:t>
      </w:r>
      <w:r>
        <w:rPr>
          <w:spacing w:val="-9"/>
        </w:rPr>
        <w:t xml:space="preserve"> </w:t>
      </w:r>
      <w:r>
        <w:t>must</w:t>
      </w:r>
      <w:r>
        <w:rPr>
          <w:spacing w:val="-7"/>
        </w:rPr>
        <w:t xml:space="preserve"> </w:t>
      </w:r>
      <w:r>
        <w:t>include</w:t>
      </w:r>
      <w:r>
        <w:rPr>
          <w:spacing w:val="-7"/>
        </w:rPr>
        <w:t xml:space="preserve"> </w:t>
      </w:r>
      <w:r>
        <w:t>the</w:t>
      </w:r>
      <w:r>
        <w:rPr>
          <w:spacing w:val="-7"/>
        </w:rPr>
        <w:t xml:space="preserve"> </w:t>
      </w:r>
      <w:r>
        <w:t>complete,</w:t>
      </w:r>
      <w:r>
        <w:rPr>
          <w:spacing w:val="-12"/>
        </w:rPr>
        <w:t xml:space="preserve"> </w:t>
      </w:r>
      <w:r>
        <w:t>exact</w:t>
      </w:r>
      <w:r>
        <w:rPr>
          <w:spacing w:val="-9"/>
        </w:rPr>
        <w:t xml:space="preserve"> </w:t>
      </w:r>
      <w:r>
        <w:t>website</w:t>
      </w:r>
      <w:r>
        <w:rPr>
          <w:spacing w:val="-9"/>
        </w:rPr>
        <w:t xml:space="preserve"> </w:t>
      </w:r>
      <w:r>
        <w:t>address</w:t>
      </w:r>
      <w:r>
        <w:rPr>
          <w:spacing w:val="-7"/>
        </w:rPr>
        <w:t xml:space="preserve"> </w:t>
      </w:r>
      <w:r>
        <w:t>and</w:t>
      </w:r>
      <w:r>
        <w:rPr>
          <w:spacing w:val="-8"/>
        </w:rPr>
        <w:t xml:space="preserve"> </w:t>
      </w:r>
      <w:r>
        <w:t>the date</w:t>
      </w:r>
      <w:r>
        <w:rPr>
          <w:spacing w:val="2"/>
        </w:rPr>
        <w:t xml:space="preserve"> </w:t>
      </w:r>
      <w:r>
        <w:t>retrieved.</w:t>
      </w:r>
    </w:p>
    <w:p w14:paraId="402E3BDA" w14:textId="77777777" w:rsidR="00676B40" w:rsidRDefault="00676B40">
      <w:pPr>
        <w:pStyle w:val="BodyText"/>
        <w:spacing w:before="11"/>
        <w:ind w:left="0"/>
        <w:rPr>
          <w:sz w:val="21"/>
        </w:rPr>
      </w:pPr>
    </w:p>
    <w:p w14:paraId="402E3BDB" w14:textId="5B02B9DA" w:rsidR="00676B40" w:rsidRDefault="00081ACB" w:rsidP="00D84C4D">
      <w:pPr>
        <w:spacing w:before="1"/>
        <w:ind w:left="100"/>
        <w:jc w:val="both"/>
      </w:pPr>
      <w:r>
        <w:rPr>
          <w:b/>
        </w:rPr>
        <w:t>Completed</w:t>
      </w:r>
      <w:r>
        <w:rPr>
          <w:b/>
          <w:spacing w:val="35"/>
        </w:rPr>
        <w:t xml:space="preserve"> </w:t>
      </w:r>
      <w:r>
        <w:rPr>
          <w:b/>
        </w:rPr>
        <w:t>essays</w:t>
      </w:r>
      <w:r>
        <w:rPr>
          <w:b/>
          <w:spacing w:val="40"/>
        </w:rPr>
        <w:t xml:space="preserve"> </w:t>
      </w:r>
      <w:r>
        <w:rPr>
          <w:b/>
        </w:rPr>
        <w:t>are</w:t>
      </w:r>
      <w:r>
        <w:rPr>
          <w:b/>
          <w:spacing w:val="36"/>
        </w:rPr>
        <w:t xml:space="preserve"> </w:t>
      </w:r>
      <w:r>
        <w:rPr>
          <w:b/>
        </w:rPr>
        <w:t>to</w:t>
      </w:r>
      <w:r>
        <w:rPr>
          <w:b/>
          <w:spacing w:val="32"/>
        </w:rPr>
        <w:t xml:space="preserve"> </w:t>
      </w:r>
      <w:r>
        <w:rPr>
          <w:b/>
        </w:rPr>
        <w:t>be</w:t>
      </w:r>
      <w:r>
        <w:rPr>
          <w:b/>
          <w:spacing w:val="37"/>
        </w:rPr>
        <w:t xml:space="preserve"> </w:t>
      </w:r>
      <w:r>
        <w:rPr>
          <w:b/>
        </w:rPr>
        <w:t>submitted</w:t>
      </w:r>
      <w:r>
        <w:rPr>
          <w:b/>
          <w:spacing w:val="36"/>
        </w:rPr>
        <w:t xml:space="preserve"> </w:t>
      </w:r>
      <w:r>
        <w:rPr>
          <w:b/>
        </w:rPr>
        <w:t>electronically</w:t>
      </w:r>
      <w:r>
        <w:rPr>
          <w:b/>
          <w:spacing w:val="37"/>
        </w:rPr>
        <w:t xml:space="preserve"> </w:t>
      </w:r>
      <w:r>
        <w:rPr>
          <w:b/>
        </w:rPr>
        <w:t>by</w:t>
      </w:r>
      <w:r>
        <w:rPr>
          <w:b/>
          <w:spacing w:val="34"/>
        </w:rPr>
        <w:t xml:space="preserve"> </w:t>
      </w:r>
      <w:r w:rsidR="00A81FCF">
        <w:rPr>
          <w:b/>
          <w:color w:val="000000" w:themeColor="text1"/>
        </w:rPr>
        <w:t xml:space="preserve">April </w:t>
      </w:r>
      <w:r w:rsidR="00226C40">
        <w:rPr>
          <w:b/>
          <w:color w:val="000000" w:themeColor="text1"/>
        </w:rPr>
        <w:t>5</w:t>
      </w:r>
      <w:r w:rsidR="00A81FCF">
        <w:rPr>
          <w:b/>
          <w:color w:val="000000" w:themeColor="text1"/>
        </w:rPr>
        <w:t xml:space="preserve">, </w:t>
      </w:r>
      <w:r w:rsidR="00012996">
        <w:rPr>
          <w:b/>
          <w:color w:val="000000" w:themeColor="text1"/>
        </w:rPr>
        <w:t>202</w:t>
      </w:r>
      <w:r w:rsidR="002F294E">
        <w:rPr>
          <w:b/>
          <w:color w:val="000000" w:themeColor="text1"/>
        </w:rPr>
        <w:t>4</w:t>
      </w:r>
      <w:r w:rsidR="00012996">
        <w:rPr>
          <w:b/>
          <w:color w:val="000000" w:themeColor="text1"/>
        </w:rPr>
        <w:t>,</w:t>
      </w:r>
      <w:r w:rsidRPr="00DF56B1">
        <w:rPr>
          <w:b/>
          <w:color w:val="000000" w:themeColor="text1"/>
          <w:spacing w:val="36"/>
        </w:rPr>
        <w:t xml:space="preserve"> </w:t>
      </w:r>
      <w:r>
        <w:rPr>
          <w:b/>
        </w:rPr>
        <w:t>to</w:t>
      </w:r>
      <w:r>
        <w:rPr>
          <w:b/>
          <w:spacing w:val="37"/>
        </w:rPr>
        <w:t xml:space="preserve"> </w:t>
      </w:r>
      <w:bookmarkStart w:id="0" w:name="_Hlk150406321"/>
      <w:r w:rsidR="00226C40">
        <w:t>Stephen Baytos</w:t>
      </w:r>
      <w:r w:rsidR="00D84C4D">
        <w:t xml:space="preserve"> at</w:t>
      </w:r>
      <w:r w:rsidR="00372E96">
        <w:t xml:space="preserve"> </w:t>
      </w:r>
      <w:r w:rsidR="00226C40">
        <w:t>sbaytos@akronohio.gov</w:t>
      </w:r>
      <w:bookmarkEnd w:id="0"/>
      <w:r w:rsidR="00D84C4D">
        <w:t>.</w:t>
      </w:r>
      <w:r>
        <w:rPr>
          <w:b/>
        </w:rPr>
        <w:t xml:space="preserve"> </w:t>
      </w:r>
      <w:r>
        <w:t>Essays are to be submitted in a Microsoft Word compatible format,</w:t>
      </w:r>
      <w:r>
        <w:rPr>
          <w:spacing w:val="7"/>
        </w:rPr>
        <w:t xml:space="preserve"> </w:t>
      </w:r>
      <w:r>
        <w:t>Times</w:t>
      </w:r>
    </w:p>
    <w:p w14:paraId="402E3BDC" w14:textId="77777777" w:rsidR="00676B40" w:rsidRDefault="00081ACB">
      <w:pPr>
        <w:pStyle w:val="BodyText"/>
        <w:ind w:left="100"/>
      </w:pPr>
      <w:r>
        <w:t>New Roman, 12-point font, and double spaced. In the review process, all essays will be electronically submitted to a plagiarism checking software to verify content integrity.</w:t>
      </w:r>
    </w:p>
    <w:p w14:paraId="402E3BDD" w14:textId="77777777" w:rsidR="00676B40" w:rsidRDefault="00676B40">
      <w:pPr>
        <w:pStyle w:val="BodyText"/>
        <w:spacing w:before="3"/>
        <w:ind w:left="0"/>
      </w:pPr>
    </w:p>
    <w:p w14:paraId="4DE83600" w14:textId="39B20157" w:rsidR="006A296D" w:rsidRDefault="00081ACB" w:rsidP="006A296D">
      <w:pPr>
        <w:ind w:left="90"/>
      </w:pPr>
      <w:r>
        <w:t xml:space="preserve">Complete Scholarship Applications found on the NESOWEA.org website are to be submitted at the same </w:t>
      </w:r>
      <w:r w:rsidR="006A296D">
        <w:t xml:space="preserve">     </w:t>
      </w:r>
      <w:r>
        <w:t>time as the Research Paper in a separate Email attachment.</w:t>
      </w:r>
      <w:r w:rsidR="006A296D">
        <w:t xml:space="preserve"> </w:t>
      </w:r>
    </w:p>
    <w:p w14:paraId="3A473B69" w14:textId="77777777" w:rsidR="006A296D" w:rsidRDefault="006A296D" w:rsidP="00321A72"/>
    <w:p w14:paraId="45D9EBC7" w14:textId="2A30327F" w:rsidR="00321A72" w:rsidRDefault="00000000" w:rsidP="00321A72">
      <w:hyperlink r:id="rId5" w:history="1">
        <w:r w:rsidR="006A296D" w:rsidRPr="00E40F98">
          <w:rPr>
            <w:rStyle w:val="Hyperlink"/>
          </w:rPr>
          <w:t>https://www.viethconsulting.com/members/form.php?orgcode=OWEA&amp;fid=4648167</w:t>
        </w:r>
      </w:hyperlink>
    </w:p>
    <w:p w14:paraId="5D79971E" w14:textId="77777777" w:rsidR="00321A72" w:rsidRDefault="00321A72">
      <w:pPr>
        <w:pStyle w:val="BodyText"/>
        <w:spacing w:before="1"/>
        <w:ind w:left="100"/>
      </w:pPr>
    </w:p>
    <w:p w14:paraId="402E3BE2" w14:textId="7F7C721E" w:rsidR="00676B40" w:rsidRDefault="00081ACB" w:rsidP="006A296D">
      <w:pPr>
        <w:pStyle w:val="BodyText"/>
        <w:spacing w:before="1"/>
        <w:ind w:left="90"/>
      </w:pPr>
      <w:r>
        <w:t>An unrelated example paper is provided for clarification and suggested organization, citation and referencing.</w:t>
      </w:r>
    </w:p>
    <w:p w14:paraId="402E3BE3" w14:textId="1C7FCBEF" w:rsidR="00676B40" w:rsidRDefault="00000000">
      <w:pPr>
        <w:pStyle w:val="BodyText"/>
        <w:ind w:left="0"/>
      </w:pPr>
      <w:hyperlink r:id="rId6" w:history="1">
        <w:r w:rsidR="006A296D" w:rsidRPr="00E40F98">
          <w:rPr>
            <w:rStyle w:val="Hyperlink"/>
          </w:rPr>
          <w:t>https://www.ohiowea.org/docs/2021_Scholarship_Sample_Research_Paper.pdf</w:t>
        </w:r>
      </w:hyperlink>
    </w:p>
    <w:p w14:paraId="0DB87821" w14:textId="77777777" w:rsidR="006A296D" w:rsidRDefault="006A296D">
      <w:pPr>
        <w:pStyle w:val="BodyText"/>
        <w:ind w:left="0"/>
      </w:pPr>
    </w:p>
    <w:p w14:paraId="402E3BE5" w14:textId="5FA89D8C" w:rsidR="00D84C4D" w:rsidRDefault="00081ACB" w:rsidP="00D84C4D">
      <w:pPr>
        <w:pStyle w:val="BodyText"/>
        <w:ind w:left="100" w:right="24"/>
      </w:pPr>
      <w:r>
        <w:t>Scholarship awardees and those receiving Honorable Mentions will be recognized at the NESOWEA Annual Business Meeting Lunch in May.</w:t>
      </w:r>
      <w:r w:rsidR="00D84C4D">
        <w:t xml:space="preserve"> </w:t>
      </w:r>
      <w:r>
        <w:t xml:space="preserve">Any questions can be directed to </w:t>
      </w:r>
      <w:r w:rsidR="00D9240F">
        <w:t xml:space="preserve">Stephen Baytos at </w:t>
      </w:r>
      <w:hyperlink r:id="rId7" w:history="1">
        <w:r w:rsidR="00D9240F" w:rsidRPr="00252149">
          <w:rPr>
            <w:rStyle w:val="Hyperlink"/>
          </w:rPr>
          <w:t>sbaytos@akronohio.gov</w:t>
        </w:r>
      </w:hyperlink>
      <w:r w:rsidR="00784C21">
        <w:t>.</w:t>
      </w:r>
    </w:p>
    <w:p w14:paraId="41C0AC90" w14:textId="77777777" w:rsidR="00D9240F" w:rsidRDefault="00D9240F" w:rsidP="00D84C4D">
      <w:pPr>
        <w:pStyle w:val="BodyText"/>
        <w:ind w:left="100" w:right="24"/>
      </w:pPr>
    </w:p>
    <w:p w14:paraId="299500F8" w14:textId="77777777" w:rsidR="00D9240F" w:rsidRDefault="00D9240F" w:rsidP="00D84C4D">
      <w:pPr>
        <w:pStyle w:val="BodyText"/>
        <w:ind w:left="100" w:right="24"/>
      </w:pPr>
    </w:p>
    <w:p w14:paraId="2B462221" w14:textId="77777777" w:rsidR="00D9240F" w:rsidRDefault="00D9240F" w:rsidP="00D84C4D">
      <w:pPr>
        <w:pStyle w:val="BodyText"/>
        <w:ind w:left="100" w:right="24"/>
      </w:pPr>
    </w:p>
    <w:p w14:paraId="5750F2CB" w14:textId="77777777" w:rsidR="00D9240F" w:rsidRDefault="00D9240F" w:rsidP="00D84C4D">
      <w:pPr>
        <w:pStyle w:val="BodyText"/>
        <w:ind w:left="100" w:right="24"/>
      </w:pPr>
    </w:p>
    <w:p w14:paraId="5DBCB79F" w14:textId="77777777" w:rsidR="00D9240F" w:rsidRDefault="00D9240F" w:rsidP="00D84C4D">
      <w:pPr>
        <w:pStyle w:val="BodyText"/>
        <w:ind w:left="100" w:right="24"/>
      </w:pPr>
    </w:p>
    <w:p w14:paraId="2D02C1C0" w14:textId="77777777" w:rsidR="00D9240F" w:rsidRDefault="00D9240F" w:rsidP="00D84C4D">
      <w:pPr>
        <w:pStyle w:val="BodyText"/>
        <w:ind w:left="100" w:right="24"/>
      </w:pPr>
    </w:p>
    <w:p w14:paraId="237FFF9A" w14:textId="77777777" w:rsidR="00D9240F" w:rsidRDefault="00D9240F" w:rsidP="00D84C4D">
      <w:pPr>
        <w:pStyle w:val="BodyText"/>
        <w:ind w:left="100" w:right="24"/>
      </w:pPr>
    </w:p>
    <w:p w14:paraId="62595627" w14:textId="77777777" w:rsidR="00D9240F" w:rsidRDefault="00D9240F" w:rsidP="00D84C4D">
      <w:pPr>
        <w:pStyle w:val="BodyText"/>
        <w:ind w:left="100" w:right="24"/>
      </w:pPr>
    </w:p>
    <w:p w14:paraId="1A58755E" w14:textId="77777777" w:rsidR="00D9240F" w:rsidRDefault="00D9240F" w:rsidP="00D84C4D">
      <w:pPr>
        <w:pStyle w:val="BodyText"/>
        <w:ind w:left="100" w:right="24"/>
      </w:pPr>
    </w:p>
    <w:p w14:paraId="692B9AE2" w14:textId="77777777" w:rsidR="00D9240F" w:rsidRDefault="00D9240F" w:rsidP="00D84C4D">
      <w:pPr>
        <w:pStyle w:val="BodyText"/>
        <w:ind w:left="100" w:right="24"/>
      </w:pPr>
    </w:p>
    <w:p w14:paraId="402E3BE6" w14:textId="77777777" w:rsidR="00D84C4D" w:rsidRDefault="00D84C4D" w:rsidP="00D84C4D">
      <w:pPr>
        <w:pStyle w:val="BodyText"/>
        <w:spacing w:before="87"/>
        <w:ind w:left="100"/>
        <w:jc w:val="center"/>
        <w:rPr>
          <w:b/>
          <w:sz w:val="24"/>
        </w:rPr>
      </w:pPr>
    </w:p>
    <w:p w14:paraId="402E3BE7" w14:textId="77777777" w:rsidR="00D84C4D" w:rsidRDefault="00D84C4D" w:rsidP="00D84C4D">
      <w:pPr>
        <w:pStyle w:val="BodyText"/>
        <w:spacing w:before="87"/>
        <w:ind w:left="100"/>
        <w:jc w:val="center"/>
        <w:rPr>
          <w:b/>
          <w:sz w:val="24"/>
        </w:rPr>
      </w:pPr>
    </w:p>
    <w:p w14:paraId="402E3BE8" w14:textId="77777777" w:rsidR="005B2DD4" w:rsidRDefault="005B2DD4" w:rsidP="00D84C4D">
      <w:pPr>
        <w:pStyle w:val="BodyText"/>
        <w:spacing w:before="87"/>
        <w:ind w:left="100"/>
        <w:jc w:val="center"/>
        <w:rPr>
          <w:b/>
          <w:sz w:val="24"/>
        </w:rPr>
      </w:pPr>
    </w:p>
    <w:p w14:paraId="402E3BE9" w14:textId="77777777" w:rsidR="005B2DD4" w:rsidRDefault="005B2DD4" w:rsidP="00D84C4D">
      <w:pPr>
        <w:pStyle w:val="BodyText"/>
        <w:spacing w:before="87"/>
        <w:ind w:left="100"/>
        <w:jc w:val="center"/>
        <w:rPr>
          <w:b/>
          <w:sz w:val="24"/>
        </w:rPr>
      </w:pPr>
    </w:p>
    <w:p w14:paraId="402E3BEA" w14:textId="77777777" w:rsidR="00D84C4D" w:rsidRDefault="00D84C4D" w:rsidP="00D84C4D">
      <w:pPr>
        <w:pStyle w:val="BodyText"/>
        <w:spacing w:before="87"/>
        <w:ind w:left="100"/>
        <w:jc w:val="center"/>
        <w:rPr>
          <w:b/>
          <w:sz w:val="24"/>
        </w:rPr>
      </w:pPr>
    </w:p>
    <w:p w14:paraId="402E3BEB" w14:textId="77777777" w:rsidR="00D84C4D" w:rsidRDefault="00D84C4D" w:rsidP="00D84C4D">
      <w:pPr>
        <w:pStyle w:val="BodyText"/>
        <w:spacing w:before="87"/>
        <w:ind w:left="100"/>
        <w:jc w:val="center"/>
        <w:rPr>
          <w:b/>
          <w:sz w:val="24"/>
        </w:rPr>
      </w:pPr>
    </w:p>
    <w:p w14:paraId="402E3BEC" w14:textId="77777777" w:rsidR="00676B40" w:rsidRDefault="00081ACB" w:rsidP="00D84C4D">
      <w:pPr>
        <w:pStyle w:val="BodyText"/>
        <w:spacing w:before="87"/>
        <w:ind w:left="100"/>
        <w:jc w:val="center"/>
        <w:rPr>
          <w:b/>
          <w:sz w:val="24"/>
        </w:rPr>
      </w:pPr>
      <w:r>
        <w:rPr>
          <w:b/>
          <w:sz w:val="24"/>
        </w:rPr>
        <w:lastRenderedPageBreak/>
        <w:t>NORTHEAST SECTION</w:t>
      </w:r>
    </w:p>
    <w:p w14:paraId="402E3BED" w14:textId="77777777" w:rsidR="00676B40" w:rsidRDefault="00081ACB">
      <w:pPr>
        <w:ind w:left="2436" w:right="2459"/>
        <w:jc w:val="center"/>
        <w:rPr>
          <w:b/>
          <w:sz w:val="24"/>
        </w:rPr>
      </w:pPr>
      <w:r>
        <w:rPr>
          <w:b/>
          <w:sz w:val="24"/>
        </w:rPr>
        <w:t>OHIO WATER ENVIRONMENT ASSOCIATION SCHOLARSHIP INFORMATION</w:t>
      </w:r>
    </w:p>
    <w:p w14:paraId="402E3BEE" w14:textId="77777777" w:rsidR="00676B40" w:rsidRDefault="00676B40">
      <w:pPr>
        <w:pStyle w:val="BodyText"/>
        <w:spacing w:before="11"/>
        <w:ind w:left="0"/>
        <w:rPr>
          <w:b/>
          <w:sz w:val="23"/>
        </w:rPr>
      </w:pPr>
    </w:p>
    <w:p w14:paraId="402E3BEF" w14:textId="79558097" w:rsidR="00676B40" w:rsidRDefault="00081ACB">
      <w:pPr>
        <w:pStyle w:val="BodyText"/>
        <w:spacing w:before="1"/>
        <w:ind w:left="100" w:right="123"/>
        <w:jc w:val="both"/>
      </w:pPr>
      <w:r>
        <w:t>The Northeast Section of the Ohio Water Environment Association may award scholarships each year to be</w:t>
      </w:r>
      <w:r>
        <w:rPr>
          <w:spacing w:val="-13"/>
        </w:rPr>
        <w:t xml:space="preserve"> </w:t>
      </w:r>
      <w:r>
        <w:t>used</w:t>
      </w:r>
      <w:r>
        <w:rPr>
          <w:spacing w:val="-13"/>
        </w:rPr>
        <w:t xml:space="preserve"> </w:t>
      </w:r>
      <w:r>
        <w:t>for</w:t>
      </w:r>
      <w:r>
        <w:rPr>
          <w:spacing w:val="-13"/>
        </w:rPr>
        <w:t xml:space="preserve"> </w:t>
      </w:r>
      <w:r>
        <w:t>college</w:t>
      </w:r>
      <w:r>
        <w:rPr>
          <w:spacing w:val="-15"/>
        </w:rPr>
        <w:t xml:space="preserve"> </w:t>
      </w:r>
      <w:r>
        <w:t>education</w:t>
      </w:r>
      <w:r>
        <w:rPr>
          <w:spacing w:val="-13"/>
        </w:rPr>
        <w:t xml:space="preserve"> </w:t>
      </w:r>
      <w:r>
        <w:t>or</w:t>
      </w:r>
      <w:r>
        <w:rPr>
          <w:spacing w:val="-17"/>
        </w:rPr>
        <w:t xml:space="preserve"> </w:t>
      </w:r>
      <w:r>
        <w:t>trade</w:t>
      </w:r>
      <w:r>
        <w:rPr>
          <w:spacing w:val="-15"/>
        </w:rPr>
        <w:t xml:space="preserve"> </w:t>
      </w:r>
      <w:r>
        <w:t>school</w:t>
      </w:r>
      <w:r>
        <w:rPr>
          <w:spacing w:val="-16"/>
        </w:rPr>
        <w:t xml:space="preserve"> </w:t>
      </w:r>
      <w:r>
        <w:t>expenses.</w:t>
      </w:r>
      <w:r>
        <w:rPr>
          <w:spacing w:val="21"/>
        </w:rPr>
        <w:t xml:space="preserve"> </w:t>
      </w:r>
      <w:r>
        <w:t>The</w:t>
      </w:r>
      <w:r>
        <w:rPr>
          <w:spacing w:val="-13"/>
        </w:rPr>
        <w:t xml:space="preserve"> </w:t>
      </w:r>
      <w:r w:rsidR="00012996">
        <w:t>first</w:t>
      </w:r>
      <w:r w:rsidR="00012996">
        <w:rPr>
          <w:spacing w:val="-13"/>
        </w:rPr>
        <w:t>-place</w:t>
      </w:r>
      <w:r>
        <w:rPr>
          <w:spacing w:val="-16"/>
        </w:rPr>
        <w:t xml:space="preserve"> </w:t>
      </w:r>
      <w:r>
        <w:t>scholarship</w:t>
      </w:r>
      <w:r>
        <w:rPr>
          <w:spacing w:val="-14"/>
        </w:rPr>
        <w:t xml:space="preserve"> </w:t>
      </w:r>
      <w:r>
        <w:t>is</w:t>
      </w:r>
      <w:r>
        <w:rPr>
          <w:spacing w:val="-15"/>
        </w:rPr>
        <w:t xml:space="preserve"> </w:t>
      </w:r>
      <w:r>
        <w:t>$</w:t>
      </w:r>
      <w:r w:rsidR="00D84C4D">
        <w:t>2</w:t>
      </w:r>
      <w:r w:rsidR="001156EE">
        <w:t>0</w:t>
      </w:r>
      <w:r>
        <w:t>00</w:t>
      </w:r>
      <w:r>
        <w:rPr>
          <w:spacing w:val="-12"/>
        </w:rPr>
        <w:t xml:space="preserve"> </w:t>
      </w:r>
      <w:r>
        <w:t>and</w:t>
      </w:r>
      <w:r>
        <w:rPr>
          <w:spacing w:val="-14"/>
        </w:rPr>
        <w:t xml:space="preserve"> </w:t>
      </w:r>
      <w:r>
        <w:t xml:space="preserve">Honorable Mention scholarships can be in amounts up to $1000. Both amounts may be increased </w:t>
      </w:r>
      <w:r w:rsidR="00012996">
        <w:t>each year</w:t>
      </w:r>
      <w:r>
        <w:t xml:space="preserve"> based on the quality of the scholarship submission and the scholarship funds available at that time as authorized by the NESOWEA Executive Committee. High school seniors, current college students, and current Northeast Section OWEA members are eligible. The scholarship shall be used for the following academic year. Depending on available scholarship funds and the quality of the scholarship submissions, the Executive Committee may give multiple Honorable Mention</w:t>
      </w:r>
      <w:r>
        <w:rPr>
          <w:spacing w:val="-10"/>
        </w:rPr>
        <w:t xml:space="preserve"> </w:t>
      </w:r>
      <w:r>
        <w:t>scholarships.</w:t>
      </w:r>
    </w:p>
    <w:p w14:paraId="402E3BF0" w14:textId="77777777" w:rsidR="00676B40" w:rsidRDefault="00676B40">
      <w:pPr>
        <w:pStyle w:val="BodyText"/>
        <w:spacing w:before="11"/>
        <w:ind w:left="0"/>
        <w:rPr>
          <w:sz w:val="21"/>
        </w:rPr>
      </w:pPr>
    </w:p>
    <w:p w14:paraId="402E3BF1" w14:textId="77777777" w:rsidR="00676B40" w:rsidRDefault="00081ACB">
      <w:pPr>
        <w:pStyle w:val="BodyText"/>
        <w:spacing w:before="1"/>
        <w:ind w:left="100"/>
        <w:jc w:val="both"/>
      </w:pPr>
      <w:r>
        <w:t>The following criteria shall be used to evaluate the applications for scholarship:</w:t>
      </w:r>
    </w:p>
    <w:p w14:paraId="402E3BF2" w14:textId="77777777" w:rsidR="00676B40" w:rsidRDefault="00676B40">
      <w:pPr>
        <w:pStyle w:val="BodyText"/>
        <w:ind w:left="0"/>
      </w:pPr>
    </w:p>
    <w:p w14:paraId="402E3BF3" w14:textId="77777777" w:rsidR="00676B40" w:rsidRDefault="00081ACB">
      <w:pPr>
        <w:pStyle w:val="ListParagraph"/>
        <w:numPr>
          <w:ilvl w:val="0"/>
          <w:numId w:val="1"/>
        </w:numPr>
        <w:tabs>
          <w:tab w:val="left" w:pos="820"/>
        </w:tabs>
        <w:ind w:right="122"/>
        <w:jc w:val="both"/>
      </w:pPr>
      <w:r>
        <w:t>A weighted grading system shall be used to evaluate applications. Applicants must submit a research</w:t>
      </w:r>
      <w:r>
        <w:rPr>
          <w:spacing w:val="-16"/>
        </w:rPr>
        <w:t xml:space="preserve"> </w:t>
      </w:r>
      <w:r>
        <w:t>paper</w:t>
      </w:r>
      <w:r>
        <w:rPr>
          <w:spacing w:val="-13"/>
        </w:rPr>
        <w:t xml:space="preserve"> </w:t>
      </w:r>
      <w:r>
        <w:t>according</w:t>
      </w:r>
      <w:r>
        <w:rPr>
          <w:spacing w:val="-13"/>
        </w:rPr>
        <w:t xml:space="preserve"> </w:t>
      </w:r>
      <w:r>
        <w:t>to</w:t>
      </w:r>
      <w:r>
        <w:rPr>
          <w:spacing w:val="-12"/>
        </w:rPr>
        <w:t xml:space="preserve"> </w:t>
      </w:r>
      <w:r>
        <w:t>the</w:t>
      </w:r>
      <w:r>
        <w:rPr>
          <w:spacing w:val="-14"/>
        </w:rPr>
        <w:t xml:space="preserve"> </w:t>
      </w:r>
      <w:r>
        <w:t>attached</w:t>
      </w:r>
      <w:r>
        <w:rPr>
          <w:spacing w:val="-14"/>
        </w:rPr>
        <w:t xml:space="preserve"> </w:t>
      </w:r>
      <w:r>
        <w:t>instructions.</w:t>
      </w:r>
      <w:r>
        <w:rPr>
          <w:spacing w:val="21"/>
        </w:rPr>
        <w:t xml:space="preserve"> </w:t>
      </w:r>
      <w:r>
        <w:t>The</w:t>
      </w:r>
      <w:r>
        <w:rPr>
          <w:spacing w:val="-15"/>
        </w:rPr>
        <w:t xml:space="preserve"> </w:t>
      </w:r>
      <w:r>
        <w:t>research</w:t>
      </w:r>
      <w:r>
        <w:rPr>
          <w:spacing w:val="-16"/>
        </w:rPr>
        <w:t xml:space="preserve"> </w:t>
      </w:r>
      <w:r>
        <w:t>papers</w:t>
      </w:r>
      <w:r>
        <w:rPr>
          <w:spacing w:val="-15"/>
        </w:rPr>
        <w:t xml:space="preserve"> </w:t>
      </w:r>
      <w:r>
        <w:t>will</w:t>
      </w:r>
      <w:r>
        <w:rPr>
          <w:spacing w:val="-14"/>
        </w:rPr>
        <w:t xml:space="preserve"> </w:t>
      </w:r>
      <w:r>
        <w:t>be</w:t>
      </w:r>
      <w:r>
        <w:rPr>
          <w:spacing w:val="-13"/>
        </w:rPr>
        <w:t xml:space="preserve"> </w:t>
      </w:r>
      <w:r>
        <w:t>graded.</w:t>
      </w:r>
      <w:r>
        <w:rPr>
          <w:spacing w:val="23"/>
        </w:rPr>
        <w:t xml:space="preserve"> </w:t>
      </w:r>
      <w:r>
        <w:t>Higher scores will get more points in the evaluation</w:t>
      </w:r>
      <w:r>
        <w:rPr>
          <w:spacing w:val="-13"/>
        </w:rPr>
        <w:t xml:space="preserve"> </w:t>
      </w:r>
      <w:r>
        <w:t>process.</w:t>
      </w:r>
    </w:p>
    <w:p w14:paraId="402E3BF4" w14:textId="77777777" w:rsidR="00676B40" w:rsidRDefault="00BB76A5">
      <w:pPr>
        <w:pStyle w:val="ListParagraph"/>
        <w:numPr>
          <w:ilvl w:val="0"/>
          <w:numId w:val="1"/>
        </w:numPr>
        <w:tabs>
          <w:tab w:val="left" w:pos="820"/>
        </w:tabs>
        <w:spacing w:before="1"/>
        <w:ind w:right="121"/>
        <w:jc w:val="both"/>
      </w:pPr>
      <w:r>
        <w:t>If t</w:t>
      </w:r>
      <w:r w:rsidR="00081ACB">
        <w:t>he</w:t>
      </w:r>
      <w:r w:rsidR="00081ACB">
        <w:rPr>
          <w:spacing w:val="-5"/>
        </w:rPr>
        <w:t xml:space="preserve"> </w:t>
      </w:r>
      <w:r w:rsidR="00081ACB">
        <w:t>applicant</w:t>
      </w:r>
      <w:r w:rsidR="00081ACB">
        <w:rPr>
          <w:spacing w:val="-8"/>
        </w:rPr>
        <w:t xml:space="preserve"> </w:t>
      </w:r>
      <w:r w:rsidR="00081ACB">
        <w:t>or</w:t>
      </w:r>
      <w:r w:rsidR="00081ACB">
        <w:rPr>
          <w:spacing w:val="-7"/>
        </w:rPr>
        <w:t xml:space="preserve"> </w:t>
      </w:r>
      <w:r w:rsidR="00081ACB">
        <w:t>the</w:t>
      </w:r>
      <w:r w:rsidR="00081ACB">
        <w:rPr>
          <w:spacing w:val="-5"/>
        </w:rPr>
        <w:t xml:space="preserve"> </w:t>
      </w:r>
      <w:r w:rsidR="00081ACB">
        <w:t>parent</w:t>
      </w:r>
      <w:r w:rsidR="00081ACB">
        <w:rPr>
          <w:spacing w:val="-6"/>
        </w:rPr>
        <w:t xml:space="preserve"> </w:t>
      </w:r>
      <w:r w:rsidR="00081ACB">
        <w:t>or</w:t>
      </w:r>
      <w:r w:rsidR="00081ACB">
        <w:rPr>
          <w:spacing w:val="-6"/>
        </w:rPr>
        <w:t xml:space="preserve"> </w:t>
      </w:r>
      <w:r w:rsidR="00081ACB">
        <w:t>legal</w:t>
      </w:r>
      <w:r w:rsidR="00081ACB">
        <w:rPr>
          <w:spacing w:val="-5"/>
        </w:rPr>
        <w:t xml:space="preserve"> </w:t>
      </w:r>
      <w:r w:rsidR="00081ACB">
        <w:t>guardian</w:t>
      </w:r>
      <w:r w:rsidR="00081ACB">
        <w:rPr>
          <w:spacing w:val="-7"/>
        </w:rPr>
        <w:t xml:space="preserve"> </w:t>
      </w:r>
      <w:r w:rsidR="00081ACB">
        <w:t>of</w:t>
      </w:r>
      <w:r w:rsidR="00081ACB">
        <w:rPr>
          <w:spacing w:val="-8"/>
        </w:rPr>
        <w:t xml:space="preserve"> </w:t>
      </w:r>
      <w:r w:rsidR="00081ACB">
        <w:t>the</w:t>
      </w:r>
      <w:r w:rsidR="00081ACB">
        <w:rPr>
          <w:spacing w:val="-7"/>
        </w:rPr>
        <w:t xml:space="preserve"> </w:t>
      </w:r>
      <w:r w:rsidR="00081ACB">
        <w:t>applicant</w:t>
      </w:r>
      <w:r w:rsidR="00081ACB">
        <w:rPr>
          <w:spacing w:val="-6"/>
        </w:rPr>
        <w:t xml:space="preserve"> </w:t>
      </w:r>
      <w:r>
        <w:t>is</w:t>
      </w:r>
      <w:r w:rsidR="00081ACB">
        <w:rPr>
          <w:spacing w:val="-5"/>
        </w:rPr>
        <w:t xml:space="preserve"> </w:t>
      </w:r>
      <w:r w:rsidR="00081ACB">
        <w:t>a</w:t>
      </w:r>
      <w:r w:rsidR="00081ACB">
        <w:rPr>
          <w:spacing w:val="-11"/>
        </w:rPr>
        <w:t xml:space="preserve"> </w:t>
      </w:r>
      <w:r w:rsidR="00081ACB">
        <w:t>member</w:t>
      </w:r>
      <w:r w:rsidR="00081ACB">
        <w:rPr>
          <w:spacing w:val="-8"/>
        </w:rPr>
        <w:t xml:space="preserve"> </w:t>
      </w:r>
      <w:r w:rsidR="00081ACB">
        <w:t>of</w:t>
      </w:r>
      <w:r w:rsidR="00081ACB">
        <w:rPr>
          <w:spacing w:val="-5"/>
        </w:rPr>
        <w:t xml:space="preserve"> </w:t>
      </w:r>
      <w:r w:rsidR="00081ACB">
        <w:t>the</w:t>
      </w:r>
      <w:r w:rsidR="00081ACB">
        <w:rPr>
          <w:spacing w:val="-6"/>
        </w:rPr>
        <w:t xml:space="preserve"> </w:t>
      </w:r>
      <w:r w:rsidR="00081ACB">
        <w:t>Northeast Section for the past three years and have a current membership</w:t>
      </w:r>
      <w:r w:rsidR="00081ACB">
        <w:rPr>
          <w:spacing w:val="-15"/>
        </w:rPr>
        <w:t xml:space="preserve"> </w:t>
      </w:r>
      <w:r w:rsidR="00081ACB">
        <w:t>status</w:t>
      </w:r>
      <w:r>
        <w:t>, more points will be awarded</w:t>
      </w:r>
      <w:r w:rsidR="00081ACB">
        <w:t>.</w:t>
      </w:r>
    </w:p>
    <w:p w14:paraId="402E3BF5" w14:textId="4DF49AB1" w:rsidR="00676B40" w:rsidRDefault="00081ACB">
      <w:pPr>
        <w:pStyle w:val="ListParagraph"/>
        <w:numPr>
          <w:ilvl w:val="0"/>
          <w:numId w:val="1"/>
        </w:numPr>
        <w:tabs>
          <w:tab w:val="left" w:pos="820"/>
        </w:tabs>
        <w:spacing w:before="2" w:line="237" w:lineRule="auto"/>
        <w:ind w:right="125"/>
        <w:jc w:val="both"/>
      </w:pPr>
      <w:r>
        <w:t>The</w:t>
      </w:r>
      <w:r>
        <w:rPr>
          <w:spacing w:val="-10"/>
        </w:rPr>
        <w:t xml:space="preserve"> </w:t>
      </w:r>
      <w:r>
        <w:t>applicant</w:t>
      </w:r>
      <w:r>
        <w:rPr>
          <w:spacing w:val="-15"/>
        </w:rPr>
        <w:t xml:space="preserve"> </w:t>
      </w:r>
      <w:r>
        <w:t>must</w:t>
      </w:r>
      <w:r>
        <w:rPr>
          <w:spacing w:val="-10"/>
        </w:rPr>
        <w:t xml:space="preserve"> </w:t>
      </w:r>
      <w:r>
        <w:t>be</w:t>
      </w:r>
      <w:r>
        <w:rPr>
          <w:spacing w:val="-9"/>
        </w:rPr>
        <w:t xml:space="preserve"> </w:t>
      </w:r>
      <w:r>
        <w:t>a</w:t>
      </w:r>
      <w:r>
        <w:rPr>
          <w:spacing w:val="-15"/>
        </w:rPr>
        <w:t xml:space="preserve"> </w:t>
      </w:r>
      <w:r>
        <w:t>high</w:t>
      </w:r>
      <w:r>
        <w:rPr>
          <w:spacing w:val="-11"/>
        </w:rPr>
        <w:t xml:space="preserve"> </w:t>
      </w:r>
      <w:r>
        <w:t>school</w:t>
      </w:r>
      <w:r>
        <w:rPr>
          <w:spacing w:val="-14"/>
        </w:rPr>
        <w:t xml:space="preserve"> </w:t>
      </w:r>
      <w:r>
        <w:t>senior</w:t>
      </w:r>
      <w:r>
        <w:rPr>
          <w:spacing w:val="-17"/>
        </w:rPr>
        <w:t xml:space="preserve"> </w:t>
      </w:r>
      <w:r>
        <w:t>or</w:t>
      </w:r>
      <w:r>
        <w:rPr>
          <w:spacing w:val="-12"/>
        </w:rPr>
        <w:t xml:space="preserve"> </w:t>
      </w:r>
      <w:r>
        <w:t>older.</w:t>
      </w:r>
    </w:p>
    <w:p w14:paraId="402E3BF6" w14:textId="77777777" w:rsidR="00676B40" w:rsidRDefault="00081ACB">
      <w:pPr>
        <w:pStyle w:val="ListParagraph"/>
        <w:numPr>
          <w:ilvl w:val="0"/>
          <w:numId w:val="1"/>
        </w:numPr>
        <w:tabs>
          <w:tab w:val="left" w:pos="820"/>
        </w:tabs>
        <w:spacing w:before="2"/>
        <w:ind w:right="123"/>
        <w:jc w:val="both"/>
      </w:pPr>
      <w:r>
        <w:t>An</w:t>
      </w:r>
      <w:r>
        <w:rPr>
          <w:spacing w:val="-7"/>
        </w:rPr>
        <w:t xml:space="preserve"> </w:t>
      </w:r>
      <w:r>
        <w:t>applicant</w:t>
      </w:r>
      <w:r>
        <w:rPr>
          <w:spacing w:val="-6"/>
        </w:rPr>
        <w:t xml:space="preserve"> </w:t>
      </w:r>
      <w:r>
        <w:t>may</w:t>
      </w:r>
      <w:r>
        <w:rPr>
          <w:spacing w:val="-5"/>
        </w:rPr>
        <w:t xml:space="preserve"> </w:t>
      </w:r>
      <w:r>
        <w:t>be</w:t>
      </w:r>
      <w:r>
        <w:rPr>
          <w:spacing w:val="-6"/>
        </w:rPr>
        <w:t xml:space="preserve"> </w:t>
      </w:r>
      <w:r>
        <w:t>pursuing</w:t>
      </w:r>
      <w:r>
        <w:rPr>
          <w:spacing w:val="-8"/>
        </w:rPr>
        <w:t xml:space="preserve"> </w:t>
      </w:r>
      <w:r>
        <w:t>any</w:t>
      </w:r>
      <w:r>
        <w:rPr>
          <w:spacing w:val="-3"/>
        </w:rPr>
        <w:t xml:space="preserve"> </w:t>
      </w:r>
      <w:r>
        <w:t>major.</w:t>
      </w:r>
      <w:r>
        <w:rPr>
          <w:spacing w:val="36"/>
        </w:rPr>
        <w:t xml:space="preserve"> </w:t>
      </w:r>
      <w:r>
        <w:t>However,</w:t>
      </w:r>
      <w:r>
        <w:rPr>
          <w:spacing w:val="-9"/>
        </w:rPr>
        <w:t xml:space="preserve"> </w:t>
      </w:r>
      <w:r>
        <w:t>those</w:t>
      </w:r>
      <w:r>
        <w:rPr>
          <w:spacing w:val="-6"/>
        </w:rPr>
        <w:t xml:space="preserve"> </w:t>
      </w:r>
      <w:r>
        <w:t>studying</w:t>
      </w:r>
      <w:r>
        <w:rPr>
          <w:spacing w:val="-6"/>
        </w:rPr>
        <w:t xml:space="preserve"> </w:t>
      </w:r>
      <w:r>
        <w:t>in</w:t>
      </w:r>
      <w:r>
        <w:rPr>
          <w:spacing w:val="-8"/>
        </w:rPr>
        <w:t xml:space="preserve"> </w:t>
      </w:r>
      <w:r>
        <w:t>the</w:t>
      </w:r>
      <w:r>
        <w:rPr>
          <w:spacing w:val="-6"/>
        </w:rPr>
        <w:t xml:space="preserve"> </w:t>
      </w:r>
      <w:r>
        <w:t>environmental</w:t>
      </w:r>
      <w:r>
        <w:rPr>
          <w:spacing w:val="-5"/>
        </w:rPr>
        <w:t xml:space="preserve"> </w:t>
      </w:r>
      <w:r>
        <w:t>field</w:t>
      </w:r>
      <w:r>
        <w:rPr>
          <w:spacing w:val="-7"/>
        </w:rPr>
        <w:t xml:space="preserve"> </w:t>
      </w:r>
      <w:r>
        <w:t>will receive more points for this item in the evaluation</w:t>
      </w:r>
      <w:r>
        <w:rPr>
          <w:spacing w:val="-6"/>
        </w:rPr>
        <w:t xml:space="preserve"> </w:t>
      </w:r>
      <w:r>
        <w:t>process.</w:t>
      </w:r>
    </w:p>
    <w:p w14:paraId="402E3BF7" w14:textId="77777777" w:rsidR="00676B40" w:rsidRDefault="00081ACB">
      <w:pPr>
        <w:pStyle w:val="ListParagraph"/>
        <w:numPr>
          <w:ilvl w:val="0"/>
          <w:numId w:val="1"/>
        </w:numPr>
        <w:tabs>
          <w:tab w:val="left" w:pos="820"/>
        </w:tabs>
        <w:ind w:right="121"/>
        <w:jc w:val="both"/>
      </w:pPr>
      <w:r>
        <w:t>The application asks for information regarding work experience, extracurricular activities, and goals. Applicants with strong involvement in community service and school activities and/or significant work experience will receive more</w:t>
      </w:r>
      <w:r>
        <w:rPr>
          <w:spacing w:val="-8"/>
        </w:rPr>
        <w:t xml:space="preserve"> </w:t>
      </w:r>
      <w:r>
        <w:t>points.</w:t>
      </w:r>
    </w:p>
    <w:p w14:paraId="402E3BF8" w14:textId="77777777" w:rsidR="00676B40" w:rsidRDefault="00081ACB">
      <w:pPr>
        <w:pStyle w:val="ListParagraph"/>
        <w:numPr>
          <w:ilvl w:val="0"/>
          <w:numId w:val="1"/>
        </w:numPr>
        <w:tabs>
          <w:tab w:val="left" w:pos="820"/>
        </w:tabs>
        <w:spacing w:before="1"/>
        <w:ind w:right="121"/>
        <w:jc w:val="both"/>
      </w:pPr>
      <w:r>
        <w:t>Once a student receives a 1</w:t>
      </w:r>
      <w:r>
        <w:rPr>
          <w:vertAlign w:val="superscript"/>
        </w:rPr>
        <w:t>st</w:t>
      </w:r>
      <w:r>
        <w:t xml:space="preserve"> Place Scholarship, they are ineligible for any additional NESOWEA scholarships. Scholarship applicants receiving Honorable Mentions scholarships are encouraged to apply for subsequent year</w:t>
      </w:r>
      <w:r>
        <w:rPr>
          <w:spacing w:val="-8"/>
        </w:rPr>
        <w:t xml:space="preserve"> </w:t>
      </w:r>
      <w:r>
        <w:t>scholarships.</w:t>
      </w:r>
    </w:p>
    <w:p w14:paraId="402E3BF9" w14:textId="77777777" w:rsidR="00676B40" w:rsidRDefault="00676B40">
      <w:pPr>
        <w:pStyle w:val="BodyText"/>
        <w:spacing w:before="11"/>
        <w:ind w:left="0"/>
        <w:rPr>
          <w:sz w:val="21"/>
        </w:rPr>
      </w:pPr>
    </w:p>
    <w:p w14:paraId="402E3BFA" w14:textId="77777777" w:rsidR="00676B40" w:rsidRDefault="00081ACB">
      <w:pPr>
        <w:pStyle w:val="BodyText"/>
        <w:ind w:left="100" w:right="125"/>
        <w:jc w:val="both"/>
      </w:pPr>
      <w:r>
        <w:t>A member may download an application from the NESOWEA.org website or obtain one by contacting an officer on the NESOWEA Executive Committee.</w:t>
      </w:r>
    </w:p>
    <w:p w14:paraId="402E3BFB" w14:textId="77777777" w:rsidR="00676B40" w:rsidRDefault="00676B40">
      <w:pPr>
        <w:pStyle w:val="BodyText"/>
        <w:ind w:left="0"/>
      </w:pPr>
    </w:p>
    <w:p w14:paraId="402E3BFC" w14:textId="77777777" w:rsidR="00676B40" w:rsidRDefault="00081ACB">
      <w:pPr>
        <w:pStyle w:val="BodyText"/>
        <w:spacing w:before="1"/>
        <w:ind w:left="100" w:right="123"/>
        <w:jc w:val="both"/>
      </w:pPr>
      <w:r>
        <w:t>The current NESOWEA President shall choose a scholarship committee consisting of at least three members. This committee shall be responsible to review and evaluate the applications submitted for the scholarship for that year.</w:t>
      </w:r>
    </w:p>
    <w:p w14:paraId="402E3BFD" w14:textId="77777777" w:rsidR="00676B40" w:rsidRDefault="00676B40">
      <w:pPr>
        <w:pStyle w:val="BodyText"/>
        <w:ind w:left="0"/>
      </w:pPr>
    </w:p>
    <w:p w14:paraId="402E3BFE" w14:textId="77777777" w:rsidR="00676B40" w:rsidRDefault="00081ACB">
      <w:pPr>
        <w:pStyle w:val="BodyText"/>
        <w:ind w:left="100" w:right="124"/>
        <w:jc w:val="both"/>
      </w:pPr>
      <w:r>
        <w:t>All</w:t>
      </w:r>
      <w:r>
        <w:rPr>
          <w:spacing w:val="-11"/>
        </w:rPr>
        <w:t xml:space="preserve"> </w:t>
      </w:r>
      <w:r>
        <w:t>applications</w:t>
      </w:r>
      <w:r>
        <w:rPr>
          <w:spacing w:val="-11"/>
        </w:rPr>
        <w:t xml:space="preserve"> </w:t>
      </w:r>
      <w:r>
        <w:t>must</w:t>
      </w:r>
      <w:r>
        <w:rPr>
          <w:spacing w:val="-9"/>
        </w:rPr>
        <w:t xml:space="preserve"> </w:t>
      </w:r>
      <w:r>
        <w:t>be</w:t>
      </w:r>
      <w:r>
        <w:rPr>
          <w:spacing w:val="-10"/>
        </w:rPr>
        <w:t xml:space="preserve"> </w:t>
      </w:r>
      <w:r>
        <w:t>completed</w:t>
      </w:r>
      <w:r>
        <w:rPr>
          <w:spacing w:val="-10"/>
        </w:rPr>
        <w:t xml:space="preserve"> </w:t>
      </w:r>
      <w:r>
        <w:t>and</w:t>
      </w:r>
      <w:r>
        <w:rPr>
          <w:spacing w:val="-9"/>
        </w:rPr>
        <w:t xml:space="preserve"> </w:t>
      </w:r>
      <w:r>
        <w:t>submitted</w:t>
      </w:r>
      <w:r>
        <w:rPr>
          <w:spacing w:val="-13"/>
        </w:rPr>
        <w:t xml:space="preserve"> </w:t>
      </w:r>
      <w:r>
        <w:t>the</w:t>
      </w:r>
      <w:r>
        <w:rPr>
          <w:spacing w:val="-10"/>
        </w:rPr>
        <w:t xml:space="preserve"> </w:t>
      </w:r>
      <w:r>
        <w:t>current</w:t>
      </w:r>
      <w:r>
        <w:rPr>
          <w:spacing w:val="-9"/>
        </w:rPr>
        <w:t xml:space="preserve"> </w:t>
      </w:r>
      <w:r>
        <w:t>NESOWEA</w:t>
      </w:r>
      <w:r>
        <w:rPr>
          <w:spacing w:val="-12"/>
        </w:rPr>
        <w:t xml:space="preserve"> </w:t>
      </w:r>
      <w:r>
        <w:t>President</w:t>
      </w:r>
      <w:r>
        <w:rPr>
          <w:spacing w:val="-9"/>
        </w:rPr>
        <w:t xml:space="preserve"> </w:t>
      </w:r>
      <w:r>
        <w:t>by</w:t>
      </w:r>
      <w:r>
        <w:rPr>
          <w:spacing w:val="-9"/>
        </w:rPr>
        <w:t xml:space="preserve"> </w:t>
      </w:r>
      <w:r>
        <w:t>the</w:t>
      </w:r>
      <w:r>
        <w:rPr>
          <w:spacing w:val="-9"/>
        </w:rPr>
        <w:t xml:space="preserve"> </w:t>
      </w:r>
      <w:r>
        <w:t>date</w:t>
      </w:r>
      <w:r>
        <w:rPr>
          <w:spacing w:val="-8"/>
        </w:rPr>
        <w:t xml:space="preserve"> </w:t>
      </w:r>
      <w:r>
        <w:t>previously indicated. If there are no qualified applicants, the scholarships will not be awarded that year. The scholarship check will be presented to each winner upon proof of tuition receipt the following fall. If the scholarship winner fails to show proof of tuition receipt, the scholarship will be</w:t>
      </w:r>
      <w:r>
        <w:rPr>
          <w:spacing w:val="-17"/>
        </w:rPr>
        <w:t xml:space="preserve"> </w:t>
      </w:r>
      <w:r>
        <w:t>rescinded.</w:t>
      </w:r>
    </w:p>
    <w:sectPr w:rsidR="00676B40">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5658A"/>
    <w:multiLevelType w:val="hybridMultilevel"/>
    <w:tmpl w:val="45A67CA8"/>
    <w:lvl w:ilvl="0" w:tplc="DD942EB2">
      <w:start w:val="1"/>
      <w:numFmt w:val="decimal"/>
      <w:lvlText w:val="%1."/>
      <w:lvlJc w:val="left"/>
      <w:pPr>
        <w:ind w:left="820" w:hanging="360"/>
        <w:jc w:val="left"/>
      </w:pPr>
      <w:rPr>
        <w:rFonts w:ascii="Calibri" w:eastAsia="Calibri" w:hAnsi="Calibri" w:cs="Calibri" w:hint="default"/>
        <w:w w:val="100"/>
        <w:sz w:val="22"/>
        <w:szCs w:val="22"/>
      </w:rPr>
    </w:lvl>
    <w:lvl w:ilvl="1" w:tplc="E90AD4D8">
      <w:numFmt w:val="bullet"/>
      <w:lvlText w:val="•"/>
      <w:lvlJc w:val="left"/>
      <w:pPr>
        <w:ind w:left="1696" w:hanging="360"/>
      </w:pPr>
      <w:rPr>
        <w:rFonts w:hint="default"/>
      </w:rPr>
    </w:lvl>
    <w:lvl w:ilvl="2" w:tplc="1FE60E60">
      <w:numFmt w:val="bullet"/>
      <w:lvlText w:val="•"/>
      <w:lvlJc w:val="left"/>
      <w:pPr>
        <w:ind w:left="2572" w:hanging="360"/>
      </w:pPr>
      <w:rPr>
        <w:rFonts w:hint="default"/>
      </w:rPr>
    </w:lvl>
    <w:lvl w:ilvl="3" w:tplc="C26AE818">
      <w:numFmt w:val="bullet"/>
      <w:lvlText w:val="•"/>
      <w:lvlJc w:val="left"/>
      <w:pPr>
        <w:ind w:left="3448" w:hanging="360"/>
      </w:pPr>
      <w:rPr>
        <w:rFonts w:hint="default"/>
      </w:rPr>
    </w:lvl>
    <w:lvl w:ilvl="4" w:tplc="7012F00A">
      <w:numFmt w:val="bullet"/>
      <w:lvlText w:val="•"/>
      <w:lvlJc w:val="left"/>
      <w:pPr>
        <w:ind w:left="4324" w:hanging="360"/>
      </w:pPr>
      <w:rPr>
        <w:rFonts w:hint="default"/>
      </w:rPr>
    </w:lvl>
    <w:lvl w:ilvl="5" w:tplc="4F56F4D2">
      <w:numFmt w:val="bullet"/>
      <w:lvlText w:val="•"/>
      <w:lvlJc w:val="left"/>
      <w:pPr>
        <w:ind w:left="5200" w:hanging="360"/>
      </w:pPr>
      <w:rPr>
        <w:rFonts w:hint="default"/>
      </w:rPr>
    </w:lvl>
    <w:lvl w:ilvl="6" w:tplc="A2E0E818">
      <w:numFmt w:val="bullet"/>
      <w:lvlText w:val="•"/>
      <w:lvlJc w:val="left"/>
      <w:pPr>
        <w:ind w:left="6076" w:hanging="360"/>
      </w:pPr>
      <w:rPr>
        <w:rFonts w:hint="default"/>
      </w:rPr>
    </w:lvl>
    <w:lvl w:ilvl="7" w:tplc="5F663882">
      <w:numFmt w:val="bullet"/>
      <w:lvlText w:val="•"/>
      <w:lvlJc w:val="left"/>
      <w:pPr>
        <w:ind w:left="6952" w:hanging="360"/>
      </w:pPr>
      <w:rPr>
        <w:rFonts w:hint="default"/>
      </w:rPr>
    </w:lvl>
    <w:lvl w:ilvl="8" w:tplc="312A7234">
      <w:numFmt w:val="bullet"/>
      <w:lvlText w:val="•"/>
      <w:lvlJc w:val="left"/>
      <w:pPr>
        <w:ind w:left="7828" w:hanging="360"/>
      </w:pPr>
      <w:rPr>
        <w:rFonts w:hint="default"/>
      </w:rPr>
    </w:lvl>
  </w:abstractNum>
  <w:abstractNum w:abstractNumId="1" w15:restartNumberingAfterBreak="0">
    <w:nsid w:val="58200627"/>
    <w:multiLevelType w:val="hybridMultilevel"/>
    <w:tmpl w:val="7DE8C29C"/>
    <w:lvl w:ilvl="0" w:tplc="6C64BC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A3C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58895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6848E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0CDEE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18468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6A741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CC6AF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70C9E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F93CDC"/>
    <w:multiLevelType w:val="hybridMultilevel"/>
    <w:tmpl w:val="047453A4"/>
    <w:lvl w:ilvl="0" w:tplc="18E0AC8A">
      <w:numFmt w:val="bullet"/>
      <w:lvlText w:val=""/>
      <w:lvlJc w:val="left"/>
      <w:pPr>
        <w:ind w:left="820" w:hanging="360"/>
      </w:pPr>
      <w:rPr>
        <w:rFonts w:ascii="Symbol" w:eastAsia="Symbol" w:hAnsi="Symbol" w:cs="Symbol" w:hint="default"/>
        <w:w w:val="100"/>
        <w:sz w:val="22"/>
        <w:szCs w:val="22"/>
      </w:rPr>
    </w:lvl>
    <w:lvl w:ilvl="1" w:tplc="9EFEE898">
      <w:numFmt w:val="bullet"/>
      <w:lvlText w:val="•"/>
      <w:lvlJc w:val="left"/>
      <w:pPr>
        <w:ind w:left="1696" w:hanging="360"/>
      </w:pPr>
      <w:rPr>
        <w:rFonts w:hint="default"/>
      </w:rPr>
    </w:lvl>
    <w:lvl w:ilvl="2" w:tplc="BF20A03E">
      <w:numFmt w:val="bullet"/>
      <w:lvlText w:val="•"/>
      <w:lvlJc w:val="left"/>
      <w:pPr>
        <w:ind w:left="2572" w:hanging="360"/>
      </w:pPr>
      <w:rPr>
        <w:rFonts w:hint="default"/>
      </w:rPr>
    </w:lvl>
    <w:lvl w:ilvl="3" w:tplc="02EC627E">
      <w:numFmt w:val="bullet"/>
      <w:lvlText w:val="•"/>
      <w:lvlJc w:val="left"/>
      <w:pPr>
        <w:ind w:left="3448" w:hanging="360"/>
      </w:pPr>
      <w:rPr>
        <w:rFonts w:hint="default"/>
      </w:rPr>
    </w:lvl>
    <w:lvl w:ilvl="4" w:tplc="EF40E944">
      <w:numFmt w:val="bullet"/>
      <w:lvlText w:val="•"/>
      <w:lvlJc w:val="left"/>
      <w:pPr>
        <w:ind w:left="4324" w:hanging="360"/>
      </w:pPr>
      <w:rPr>
        <w:rFonts w:hint="default"/>
      </w:rPr>
    </w:lvl>
    <w:lvl w:ilvl="5" w:tplc="7CD43A70">
      <w:numFmt w:val="bullet"/>
      <w:lvlText w:val="•"/>
      <w:lvlJc w:val="left"/>
      <w:pPr>
        <w:ind w:left="5200" w:hanging="360"/>
      </w:pPr>
      <w:rPr>
        <w:rFonts w:hint="default"/>
      </w:rPr>
    </w:lvl>
    <w:lvl w:ilvl="6" w:tplc="35F41820">
      <w:numFmt w:val="bullet"/>
      <w:lvlText w:val="•"/>
      <w:lvlJc w:val="left"/>
      <w:pPr>
        <w:ind w:left="6076" w:hanging="360"/>
      </w:pPr>
      <w:rPr>
        <w:rFonts w:hint="default"/>
      </w:rPr>
    </w:lvl>
    <w:lvl w:ilvl="7" w:tplc="F7D406F2">
      <w:numFmt w:val="bullet"/>
      <w:lvlText w:val="•"/>
      <w:lvlJc w:val="left"/>
      <w:pPr>
        <w:ind w:left="6952" w:hanging="360"/>
      </w:pPr>
      <w:rPr>
        <w:rFonts w:hint="default"/>
      </w:rPr>
    </w:lvl>
    <w:lvl w:ilvl="8" w:tplc="E03AA34E">
      <w:numFmt w:val="bullet"/>
      <w:lvlText w:val="•"/>
      <w:lvlJc w:val="left"/>
      <w:pPr>
        <w:ind w:left="7828" w:hanging="360"/>
      </w:pPr>
      <w:rPr>
        <w:rFonts w:hint="default"/>
      </w:rPr>
    </w:lvl>
  </w:abstractNum>
  <w:num w:numId="1" w16cid:durableId="114521687">
    <w:abstractNumId w:val="0"/>
  </w:num>
  <w:num w:numId="2" w16cid:durableId="760835544">
    <w:abstractNumId w:val="2"/>
  </w:num>
  <w:num w:numId="3" w16cid:durableId="1061439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40"/>
    <w:rsid w:val="00012996"/>
    <w:rsid w:val="00081ACB"/>
    <w:rsid w:val="000C4178"/>
    <w:rsid w:val="001156EE"/>
    <w:rsid w:val="001363CE"/>
    <w:rsid w:val="001D3889"/>
    <w:rsid w:val="00226C40"/>
    <w:rsid w:val="002F294E"/>
    <w:rsid w:val="00321A72"/>
    <w:rsid w:val="00372E96"/>
    <w:rsid w:val="0043740A"/>
    <w:rsid w:val="00461CC4"/>
    <w:rsid w:val="005B2DD4"/>
    <w:rsid w:val="00625B2E"/>
    <w:rsid w:val="0063510E"/>
    <w:rsid w:val="00676B40"/>
    <w:rsid w:val="006A296D"/>
    <w:rsid w:val="00715082"/>
    <w:rsid w:val="00784C21"/>
    <w:rsid w:val="009A4D81"/>
    <w:rsid w:val="00A81FCF"/>
    <w:rsid w:val="00AF754C"/>
    <w:rsid w:val="00B41AB5"/>
    <w:rsid w:val="00BB76A5"/>
    <w:rsid w:val="00D84C4D"/>
    <w:rsid w:val="00D9240F"/>
    <w:rsid w:val="00DF56B1"/>
    <w:rsid w:val="00EE10B4"/>
    <w:rsid w:val="00F4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3BCB"/>
  <w15:docId w15:val="{32DA1343-F1EF-4FDC-8D65-05AA569E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4C4D"/>
    <w:rPr>
      <w:color w:val="0000FF" w:themeColor="hyperlink"/>
      <w:u w:val="single"/>
    </w:rPr>
  </w:style>
  <w:style w:type="character" w:styleId="UnresolvedMention">
    <w:name w:val="Unresolved Mention"/>
    <w:basedOn w:val="DefaultParagraphFont"/>
    <w:uiPriority w:val="99"/>
    <w:semiHidden/>
    <w:unhideWhenUsed/>
    <w:rsid w:val="006A296D"/>
    <w:rPr>
      <w:color w:val="605E5C"/>
      <w:shd w:val="clear" w:color="auto" w:fill="E1DFDD"/>
    </w:rPr>
  </w:style>
  <w:style w:type="paragraph" w:styleId="Revision">
    <w:name w:val="Revision"/>
    <w:hidden/>
    <w:uiPriority w:val="99"/>
    <w:semiHidden/>
    <w:rsid w:val="00012996"/>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ytos@akron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wea.org/docs/2021_Scholarship_Sample_Research_Paper.pdf" TargetMode="External"/><Relationship Id="rId5" Type="http://schemas.openxmlformats.org/officeDocument/2006/relationships/hyperlink" Target="https://www.viethconsulting.com/members/form.php?orgcode=OWEA&amp;fid=46481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NESOWEA Scholarship Information and Instructions 2021.docx</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NESOWEA Scholarship Information and Instructions 2021.docx</dc:title>
  <dc:creator>mcook</dc:creator>
  <cp:lastModifiedBy>Chelsea</cp:lastModifiedBy>
  <cp:revision>2</cp:revision>
  <dcterms:created xsi:type="dcterms:W3CDTF">2023-12-04T15:15:00Z</dcterms:created>
  <dcterms:modified xsi:type="dcterms:W3CDTF">2023-12-04T15:15:00Z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LastSaved">
    <vt:filetime>2022-02-22T00:00:00Z</vt:filetime>
  </property>
</Properties>
</file>